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708549E7" w:rsidR="00F56E50" w:rsidRDefault="00E567D1">
            <w:r>
              <w:rPr>
                <w:noProof/>
                <w:lang w:eastAsia="zh-TW"/>
              </w:rPr>
              <w:drawing>
                <wp:anchor distT="0" distB="0" distL="114300" distR="114300" simplePos="0" relativeHeight="251662336" behindDoc="0" locked="0" layoutInCell="1" allowOverlap="1" wp14:anchorId="382694C0" wp14:editId="3FF6351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-67945</wp:posOffset>
                  </wp:positionV>
                  <wp:extent cx="650875" cy="742315"/>
                  <wp:effectExtent l="0" t="0" r="0" b="635"/>
                  <wp:wrapNone/>
                  <wp:docPr id="2" name="Picture 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BF4">
              <w:t xml:space="preserve"> </w:t>
            </w:r>
          </w:p>
        </w:tc>
        <w:tc>
          <w:tcPr>
            <w:tcW w:w="8552" w:type="dxa"/>
          </w:tcPr>
          <w:p w14:paraId="3B0EBF6A" w14:textId="73AE3CC9" w:rsidR="00F56E50" w:rsidRPr="00F56E50" w:rsidRDefault="00201666">
            <w:pPr>
              <w:rPr>
                <w:sz w:val="32"/>
                <w:szCs w:val="32"/>
              </w:rPr>
            </w:pPr>
            <w:r w:rsidRPr="00B37BCF">
              <w:rPr>
                <w:rFonts w:cstheme="minorHAnsi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4384" behindDoc="0" locked="0" layoutInCell="1" allowOverlap="1" wp14:anchorId="7C3F166E" wp14:editId="7E747E3C">
                  <wp:simplePos x="0" y="0"/>
                  <wp:positionH relativeFrom="column">
                    <wp:posOffset>4483542</wp:posOffset>
                  </wp:positionH>
                  <wp:positionV relativeFrom="paragraph">
                    <wp:posOffset>58947</wp:posOffset>
                  </wp:positionV>
                  <wp:extent cx="882595" cy="613821"/>
                  <wp:effectExtent l="0" t="0" r="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889707" cy="61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A10"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E4420" wp14:editId="4646326E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-93980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A00FD" w14:textId="2638CC6E" w:rsidR="00581A10" w:rsidRPr="00581A10" w:rsidRDefault="00581A10" w:rsidP="00581A10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 xml:space="preserve">Form </w:t>
                                  </w:r>
                                  <w:r w:rsidR="00C83A2B"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E4420" id="Rounded Rectangle 1" o:spid="_x0000_s1026" style="position:absolute;margin-left:287.4pt;margin-top:-7.4pt;width:6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" fillcolor="white [3201]" strokecolor="#00acf5 [3205]" strokeweight="2pt">
                      <v:textbox>
                        <w:txbxContent>
                          <w:p w14:paraId="1D8A00FD" w14:textId="2638CC6E" w:rsidR="00581A10" w:rsidRPr="00581A10" w:rsidRDefault="00581A10" w:rsidP="00581A10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 xml:space="preserve">Form </w:t>
                            </w:r>
                            <w:r w:rsidR="00C83A2B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5C0A49E8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 xml:space="preserve">xtra-curricular Activities </w:t>
            </w:r>
            <w:r w:rsidR="0083201E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05B5C030" w:rsidR="00F56E50" w:rsidRPr="00201666" w:rsidRDefault="00624917" w:rsidP="00201666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Application for using lockers in ECA room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286AC9B5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431E"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" fillcolor="#00acf5 [3205]" stroked="f" strokeweight="2pt"/>
            </w:pict>
          </mc:Fallback>
        </mc:AlternateContent>
      </w:r>
    </w:p>
    <w:p w14:paraId="0B461964" w14:textId="1CFCC01C" w:rsidR="00F56E50" w:rsidRPr="00624917" w:rsidRDefault="00F56E50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I: </w:t>
      </w:r>
      <w:r w:rsidR="00624917">
        <w:rPr>
          <w:rFonts w:asciiTheme="majorHAnsi" w:eastAsia="PMingLiU" w:hAnsiTheme="majorHAnsi" w:cstheme="majorHAnsi" w:hint="eastAsia"/>
          <w:b/>
          <w:sz w:val="28"/>
          <w:lang w:eastAsia="zh-HK"/>
        </w:rPr>
        <w:t>Club Details</w:t>
      </w:r>
    </w:p>
    <w:tbl>
      <w:tblPr>
        <w:tblStyle w:val="LightGrid-Accent2"/>
        <w:tblW w:w="10173" w:type="dxa"/>
        <w:tblLook w:val="0480" w:firstRow="0" w:lastRow="0" w:firstColumn="1" w:lastColumn="0" w:noHBand="0" w:noVBand="1"/>
      </w:tblPr>
      <w:tblGrid>
        <w:gridCol w:w="2268"/>
        <w:gridCol w:w="3952"/>
        <w:gridCol w:w="834"/>
        <w:gridCol w:w="1985"/>
        <w:gridCol w:w="1134"/>
      </w:tblGrid>
      <w:tr w:rsidR="00F56E50" w:rsidRPr="00313547" w14:paraId="12530B91" w14:textId="77777777" w:rsidTr="0062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42436764" w:rsidR="00F56E50" w:rsidRPr="00313547" w:rsidRDefault="00C83A2B" w:rsidP="00624917">
            <w:pPr>
              <w:jc w:val="both"/>
              <w:rPr>
                <w:rFonts w:cstheme="majorHAnsi"/>
                <w:b w:val="0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 Society</w:t>
            </w:r>
            <w:r w:rsidR="006B7785">
              <w:rPr>
                <w:rFonts w:eastAsia="PMingLiU" w:cstheme="majorHAnsi" w:hint="eastAsia"/>
                <w:b w:val="0"/>
                <w:lang w:eastAsia="zh-HK"/>
              </w:rPr>
              <w:t>:</w:t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gridSpan w:val="4"/>
            <w:vAlign w:val="center"/>
          </w:tcPr>
          <w:p w14:paraId="4FF5588D" w14:textId="53A46062" w:rsidR="00F56E50" w:rsidRPr="00313547" w:rsidRDefault="00F56E50" w:rsidP="0062491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C83A2B" w:rsidRPr="00581A10" w14:paraId="532A3511" w14:textId="77777777" w:rsidTr="0062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FAE48EF" w14:textId="0337D16F" w:rsidR="00C83A2B" w:rsidRPr="00581A10" w:rsidRDefault="00C83A2B" w:rsidP="0062491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Student-in-charge:</w:t>
            </w:r>
          </w:p>
        </w:tc>
        <w:tc>
          <w:tcPr>
            <w:tcW w:w="4786" w:type="dxa"/>
            <w:gridSpan w:val="2"/>
            <w:vAlign w:val="center"/>
          </w:tcPr>
          <w:p w14:paraId="4C30D13D" w14:textId="77777777" w:rsidR="00C83A2B" w:rsidRPr="00313547" w:rsidRDefault="00C83A2B" w:rsidP="0062491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Name:</w:t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985" w:type="dxa"/>
            <w:vAlign w:val="center"/>
          </w:tcPr>
          <w:p w14:paraId="07D7F7E4" w14:textId="77777777" w:rsidR="00C83A2B" w:rsidRPr="00581A10" w:rsidRDefault="00C83A2B" w:rsidP="0062491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Class:</w:t>
            </w:r>
          </w:p>
        </w:tc>
        <w:tc>
          <w:tcPr>
            <w:tcW w:w="1134" w:type="dxa"/>
            <w:vAlign w:val="center"/>
          </w:tcPr>
          <w:p w14:paraId="034D9A6F" w14:textId="77777777" w:rsidR="00C83A2B" w:rsidRPr="00581A10" w:rsidRDefault="00C83A2B" w:rsidP="0062491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No.:</w:t>
            </w:r>
          </w:p>
        </w:tc>
      </w:tr>
      <w:tr w:rsidR="00C83A2B" w:rsidRPr="00313547" w14:paraId="12FBF036" w14:textId="77777777" w:rsidTr="0062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542B57B" w14:textId="0F6A3AF0" w:rsidR="00C83A2B" w:rsidRPr="00581A10" w:rsidRDefault="00C83A2B" w:rsidP="0062491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Contact Number:</w:t>
            </w:r>
          </w:p>
        </w:tc>
        <w:tc>
          <w:tcPr>
            <w:tcW w:w="7905" w:type="dxa"/>
            <w:gridSpan w:val="4"/>
            <w:vAlign w:val="center"/>
          </w:tcPr>
          <w:p w14:paraId="3B38F42B" w14:textId="77777777" w:rsidR="00C83A2B" w:rsidRPr="00313547" w:rsidRDefault="00C83A2B" w:rsidP="0062491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624917" w:rsidRPr="00313547" w14:paraId="674A005C" w14:textId="77777777" w:rsidTr="0062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5AE91B9" w14:textId="77777777" w:rsidR="00624917" w:rsidRDefault="00624917" w:rsidP="0062491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Locker N</w:t>
            </w:r>
            <w:r w:rsidRPr="00624917">
              <w:rPr>
                <w:rFonts w:eastAsia="PMingLiU" w:cstheme="majorHAnsi" w:hint="eastAsia"/>
                <w:b w:val="0"/>
                <w:lang w:eastAsia="zh-HK"/>
              </w:rPr>
              <w:t>umber:</w:t>
            </w:r>
          </w:p>
          <w:p w14:paraId="17904B04" w14:textId="2519576D" w:rsidR="00624917" w:rsidRPr="00624917" w:rsidRDefault="00624917" w:rsidP="00624917">
            <w:pPr>
              <w:jc w:val="both"/>
              <w:rPr>
                <w:rFonts w:eastAsia="PMingLiU" w:cstheme="majorHAnsi"/>
                <w:b w:val="0"/>
                <w:i/>
                <w:sz w:val="19"/>
                <w:szCs w:val="19"/>
                <w:lang w:eastAsia="zh-HK"/>
              </w:rPr>
            </w:pPr>
            <w:r w:rsidRPr="00624917">
              <w:rPr>
                <w:rFonts w:eastAsia="PMingLiU" w:cstheme="majorHAnsi" w:hint="eastAsia"/>
                <w:b w:val="0"/>
                <w:i/>
                <w:sz w:val="19"/>
                <w:szCs w:val="19"/>
                <w:lang w:eastAsia="zh-HK"/>
              </w:rPr>
              <w:t>(to be filled by ECA team)</w:t>
            </w:r>
          </w:p>
        </w:tc>
        <w:tc>
          <w:tcPr>
            <w:tcW w:w="3952" w:type="dxa"/>
            <w:vAlign w:val="center"/>
          </w:tcPr>
          <w:p w14:paraId="7A5A3CE4" w14:textId="77777777" w:rsidR="00624917" w:rsidRPr="00624917" w:rsidRDefault="00624917" w:rsidP="0062491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                                    </w:t>
            </w:r>
          </w:p>
        </w:tc>
        <w:tc>
          <w:tcPr>
            <w:tcW w:w="3953" w:type="dxa"/>
            <w:gridSpan w:val="3"/>
            <w:vAlign w:val="center"/>
          </w:tcPr>
          <w:p w14:paraId="159A9B71" w14:textId="1FCF37DE" w:rsidR="00624917" w:rsidRPr="00624917" w:rsidRDefault="00624917" w:rsidP="00C22072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Period: </w:t>
            </w:r>
          </w:p>
        </w:tc>
      </w:tr>
    </w:tbl>
    <w:p w14:paraId="3607C111" w14:textId="7274341A" w:rsidR="00581A10" w:rsidRPr="00A92CC9" w:rsidRDefault="005C644F" w:rsidP="00581A10">
      <w:pPr>
        <w:keepLines/>
        <w:widowControl w:val="0"/>
        <w:rPr>
          <w:rFonts w:ascii="Calibri" w:eastAsia="PMingLiU" w:hAnsi="Calibri" w:cstheme="majorHAnsi"/>
          <w:b/>
          <w:sz w:val="28"/>
          <w:lang w:eastAsia="zh-HK"/>
        </w:rPr>
      </w:pPr>
      <w:r w:rsidRPr="00A92CC9">
        <w:rPr>
          <w:rFonts w:ascii="Calibri" w:hAnsi="Calibri" w:cstheme="majorHAnsi"/>
          <w:b/>
          <w:sz w:val="28"/>
        </w:rPr>
        <w:t xml:space="preserve">Part </w:t>
      </w:r>
      <w:r w:rsidRPr="00A92CC9">
        <w:rPr>
          <w:rFonts w:ascii="Calibri" w:eastAsia="PMingLiU" w:hAnsi="Calibri" w:cstheme="majorHAnsi"/>
          <w:b/>
          <w:sz w:val="28"/>
          <w:lang w:eastAsia="zh-HK"/>
        </w:rPr>
        <w:t>I</w:t>
      </w:r>
      <w:r w:rsidRPr="00A92CC9">
        <w:rPr>
          <w:rFonts w:ascii="Calibri" w:hAnsi="Calibri" w:cstheme="majorHAnsi"/>
          <w:b/>
          <w:sz w:val="28"/>
        </w:rPr>
        <w:t xml:space="preserve">I: </w:t>
      </w:r>
      <w:r w:rsidRPr="00A92CC9">
        <w:rPr>
          <w:rFonts w:ascii="Calibri" w:eastAsia="PMingLiU" w:hAnsi="Calibri" w:cstheme="majorHAnsi"/>
          <w:b/>
          <w:sz w:val="28"/>
          <w:lang w:eastAsia="zh-HK"/>
        </w:rPr>
        <w:t>Terms and Conditions</w:t>
      </w:r>
      <w:r w:rsidR="00C83A2B" w:rsidRPr="00A92CC9">
        <w:rPr>
          <w:rFonts w:ascii="Calibri" w:eastAsia="PMingLiU" w:hAnsi="Calibri" w:cstheme="majorHAnsi"/>
          <w:b/>
          <w:sz w:val="28"/>
          <w:lang w:eastAsia="zh-HK"/>
        </w:rPr>
        <w:t xml:space="preserve"> of using lockers for clubs within the ECA room</w:t>
      </w:r>
    </w:p>
    <w:p w14:paraId="473B82EB" w14:textId="77777777" w:rsidR="00C83A2B" w:rsidRPr="00A92CC9" w:rsidRDefault="00C83A2B" w:rsidP="00C83A2B">
      <w:pPr>
        <w:pStyle w:val="ListParagraph"/>
        <w:keepLines/>
        <w:widowControl w:val="0"/>
        <w:numPr>
          <w:ilvl w:val="0"/>
          <w:numId w:val="3"/>
        </w:numPr>
        <w:ind w:leftChars="0"/>
        <w:rPr>
          <w:rFonts w:ascii="Calibri" w:eastAsia="PMingLiU" w:hAnsi="Calibri" w:cstheme="majorHAnsi"/>
          <w:b/>
          <w:sz w:val="28"/>
          <w:lang w:eastAsia="zh-HK"/>
        </w:rPr>
      </w:pPr>
      <w:r w:rsidRPr="00A92CC9">
        <w:rPr>
          <w:rFonts w:ascii="Calibri" w:eastAsia="PMingLiU" w:hAnsi="Calibri" w:cstheme="majorHAnsi"/>
          <w:b/>
          <w:sz w:val="28"/>
          <w:lang w:eastAsia="zh-HK"/>
        </w:rPr>
        <w:t>Legal notice</w:t>
      </w:r>
    </w:p>
    <w:p w14:paraId="792A9717" w14:textId="4073CBCA" w:rsidR="00C83A2B" w:rsidRPr="00A92CC9" w:rsidRDefault="00C83A2B" w:rsidP="00C83A2B">
      <w:pPr>
        <w:pStyle w:val="ListParagraph"/>
        <w:keepLines/>
        <w:widowControl w:val="0"/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The school authority cannot be held responsible for any lost, stolen, or damaged personal property. All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lockers within the college are the property of St. Joseph’s College. The school authority reserves the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right to alter the polices governing the use of lockers with appropriate notice. Flammable, Toxic or other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illegal / dangerous substances must not be stored within the lockers. You agree to follow such guidelines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by applying for a locker for your club / society.</w:t>
      </w:r>
    </w:p>
    <w:p w14:paraId="19F0D11A" w14:textId="31C06008" w:rsidR="00C83A2B" w:rsidRPr="00A92CC9" w:rsidRDefault="00C83A2B" w:rsidP="00C83A2B">
      <w:pPr>
        <w:pStyle w:val="ListParagraph"/>
        <w:keepLines/>
        <w:widowControl w:val="0"/>
        <w:numPr>
          <w:ilvl w:val="0"/>
          <w:numId w:val="3"/>
        </w:numPr>
        <w:ind w:leftChars="0"/>
        <w:rPr>
          <w:rFonts w:ascii="Calibri" w:eastAsia="PMingLiU" w:hAnsi="Calibri" w:cstheme="majorHAnsi"/>
          <w:b/>
          <w:sz w:val="28"/>
          <w:lang w:eastAsia="zh-HK"/>
        </w:rPr>
      </w:pPr>
      <w:r w:rsidRPr="00A92CC9">
        <w:rPr>
          <w:rFonts w:ascii="Calibri" w:eastAsia="PMingLiU" w:hAnsi="Calibri" w:cstheme="majorHAnsi"/>
          <w:b/>
          <w:sz w:val="28"/>
          <w:lang w:eastAsia="zh-HK"/>
        </w:rPr>
        <w:t>Usage guidelines</w:t>
      </w:r>
    </w:p>
    <w:p w14:paraId="17D48F63" w14:textId="77777777" w:rsidR="00A92CC9" w:rsidRPr="00A92CC9" w:rsidRDefault="00A92CC9" w:rsidP="00A92CC9">
      <w:pPr>
        <w:pStyle w:val="ListParagraph"/>
        <w:keepLines/>
        <w:widowControl w:val="0"/>
        <w:numPr>
          <w:ilvl w:val="0"/>
          <w:numId w:val="4"/>
        </w:numPr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A mechanical or electronic lock must be used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.</w:t>
      </w:r>
    </w:p>
    <w:p w14:paraId="3B81EE99" w14:textId="77777777" w:rsidR="00A92CC9" w:rsidRPr="00A92CC9" w:rsidRDefault="00A92CC9" w:rsidP="00A92CC9">
      <w:pPr>
        <w:pStyle w:val="ListParagraph"/>
        <w:keepLines/>
        <w:widowControl w:val="0"/>
        <w:numPr>
          <w:ilvl w:val="0"/>
          <w:numId w:val="4"/>
        </w:numPr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ECA team committee members must be noti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f</w:t>
      </w:r>
      <w:r w:rsidRPr="00A92CC9">
        <w:rPr>
          <w:rFonts w:ascii="Calibri" w:hAnsi="Calibri" w:cs="LinLibertineT"/>
          <w:sz w:val="22"/>
          <w:szCs w:val="22"/>
        </w:rPr>
        <w:t>ied when you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</w:p>
    <w:p w14:paraId="21A2C6FA" w14:textId="77777777" w:rsidR="00A92CC9" w:rsidRPr="00A92CC9" w:rsidRDefault="00A92CC9" w:rsidP="00A92CC9">
      <w:pPr>
        <w:pStyle w:val="ListParagraph"/>
        <w:keepLines/>
        <w:widowControl w:val="0"/>
        <w:ind w:leftChars="0" w:left="96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(a) would like to apply for a space in the locker</w:t>
      </w:r>
    </w:p>
    <w:p w14:paraId="2EBD947F" w14:textId="1681E8D0" w:rsidR="00A92CC9" w:rsidRPr="00A92CC9" w:rsidRDefault="00A92CC9" w:rsidP="00A92CC9">
      <w:pPr>
        <w:pStyle w:val="ListParagraph"/>
        <w:keepLines/>
        <w:widowControl w:val="0"/>
        <w:ind w:leftChars="0" w:left="96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(b) access the ECA room or the lockers without the accompany of a ECA team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committee member.</w:t>
      </w:r>
    </w:p>
    <w:p w14:paraId="4402C0C9" w14:textId="77777777" w:rsidR="00A92CC9" w:rsidRPr="00A92CC9" w:rsidRDefault="00A92CC9" w:rsidP="00A92CC9">
      <w:pPr>
        <w:pStyle w:val="ListParagraph"/>
        <w:keepLines/>
        <w:widowControl w:val="0"/>
        <w:numPr>
          <w:ilvl w:val="0"/>
          <w:numId w:val="4"/>
        </w:numPr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Only certain members of the ECA team ha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ve</w:t>
      </w:r>
      <w:r w:rsidRPr="00A92CC9">
        <w:rPr>
          <w:rFonts w:ascii="Calibri" w:hAnsi="Calibri" w:cs="LinLibertineT"/>
          <w:sz w:val="22"/>
          <w:szCs w:val="22"/>
        </w:rPr>
        <w:t xml:space="preserve"> keys to the ECA room. Hence, access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to the ECA room, which is where the locker lies, is not guaranteed and immediate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upon request. Special arrangements would be made during the days leading to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the recruitment week or open day.</w:t>
      </w:r>
    </w:p>
    <w:p w14:paraId="6BEDA7C2" w14:textId="77777777" w:rsidR="00A92CC9" w:rsidRPr="00A92CC9" w:rsidRDefault="00A92CC9" w:rsidP="00A92CC9">
      <w:pPr>
        <w:pStyle w:val="ListParagraph"/>
        <w:keepLines/>
        <w:widowControl w:val="0"/>
        <w:numPr>
          <w:ilvl w:val="0"/>
          <w:numId w:val="4"/>
        </w:numPr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Regarding the items stored in the lockers, they should</w:t>
      </w:r>
    </w:p>
    <w:p w14:paraId="1E0037DB" w14:textId="0DE2E817" w:rsidR="00A92CC9" w:rsidRPr="00A92CC9" w:rsidRDefault="00A92CC9" w:rsidP="00A92CC9">
      <w:pPr>
        <w:pStyle w:val="ListParagraph"/>
        <w:keepLines/>
        <w:widowControl w:val="0"/>
        <w:ind w:leftChars="0" w:left="96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 xml:space="preserve">(a) </w:t>
      </w:r>
      <w:r w:rsidRPr="00A92CC9">
        <w:rPr>
          <w:rFonts w:ascii="Calibri" w:eastAsia="PMingLiU" w:hAnsi="Calibri" w:cs="LinLibertineT" w:hint="eastAsia"/>
          <w:sz w:val="22"/>
          <w:szCs w:val="22"/>
          <w:lang w:eastAsia="zh-HK"/>
        </w:rPr>
        <w:t>b</w:t>
      </w:r>
      <w:r w:rsidRPr="00A92CC9">
        <w:rPr>
          <w:rFonts w:ascii="Calibri" w:hAnsi="Calibri" w:cs="LinLibertineT"/>
          <w:sz w:val="22"/>
          <w:szCs w:val="22"/>
        </w:rPr>
        <w:t>e related to the club’s activities.</w:t>
      </w:r>
    </w:p>
    <w:p w14:paraId="3DCEEF2A" w14:textId="39361761" w:rsidR="00A92CC9" w:rsidRPr="00A92CC9" w:rsidRDefault="00A92CC9" w:rsidP="00A92CC9">
      <w:pPr>
        <w:pStyle w:val="ListParagraph"/>
        <w:keepLines/>
        <w:widowControl w:val="0"/>
        <w:ind w:leftChars="0" w:left="96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 xml:space="preserve">(b) </w:t>
      </w:r>
      <w:r w:rsidRPr="00A92CC9">
        <w:rPr>
          <w:rFonts w:ascii="Calibri" w:eastAsia="PMingLiU" w:hAnsi="Calibri" w:cs="LinLibertineT" w:hint="eastAsia"/>
          <w:sz w:val="22"/>
          <w:szCs w:val="22"/>
          <w:lang w:eastAsia="zh-HK"/>
        </w:rPr>
        <w:t>n</w:t>
      </w:r>
      <w:r w:rsidRPr="00A92CC9">
        <w:rPr>
          <w:rFonts w:ascii="Calibri" w:hAnsi="Calibri" w:cs="LinLibertineT"/>
          <w:sz w:val="22"/>
          <w:szCs w:val="22"/>
        </w:rPr>
        <w:t>ot be used by the club frequently</w:t>
      </w:r>
      <w:r w:rsidRPr="00A92CC9">
        <w:rPr>
          <w:rStyle w:val="FootnoteReference"/>
          <w:rFonts w:ascii="Calibri" w:hAnsi="Calibri" w:cs="LinLibertineT"/>
          <w:sz w:val="22"/>
          <w:szCs w:val="22"/>
        </w:rPr>
        <w:footnoteReference w:id="1"/>
      </w:r>
      <w:r w:rsidRPr="00A92CC9">
        <w:rPr>
          <w:rFonts w:ascii="Calibri" w:hAnsi="Calibri" w:cs="LinLibertineT"/>
          <w:sz w:val="22"/>
          <w:szCs w:val="22"/>
        </w:rPr>
        <w:t xml:space="preserve"> </w:t>
      </w:r>
      <w:r w:rsidRPr="00A92CC9">
        <w:rPr>
          <w:rFonts w:ascii="Calibri" w:eastAsia="PMingLiU" w:hAnsi="Calibri" w:cs="LinLibertineT" w:hint="eastAsia"/>
          <w:sz w:val="22"/>
          <w:szCs w:val="22"/>
          <w:lang w:eastAsia="zh-HK"/>
        </w:rPr>
        <w:t>.</w:t>
      </w:r>
    </w:p>
    <w:p w14:paraId="66C4B993" w14:textId="2411DD80" w:rsidR="005C644F" w:rsidRPr="00A92CC9" w:rsidRDefault="00A92CC9" w:rsidP="00A92CC9">
      <w:pPr>
        <w:pStyle w:val="ListParagraph"/>
        <w:keepLines/>
        <w:widowControl w:val="0"/>
        <w:numPr>
          <w:ilvl w:val="0"/>
          <w:numId w:val="4"/>
        </w:numPr>
        <w:ind w:leftChars="0"/>
        <w:jc w:val="both"/>
        <w:rPr>
          <w:rFonts w:ascii="Calibri" w:eastAsia="PMingLiU" w:hAnsi="Calibri" w:cs="LinLibertineT"/>
          <w:sz w:val="22"/>
          <w:szCs w:val="22"/>
          <w:lang w:eastAsia="zh-HK"/>
        </w:rPr>
      </w:pPr>
      <w:r w:rsidRPr="00A92CC9">
        <w:rPr>
          <w:rFonts w:ascii="Calibri" w:hAnsi="Calibri" w:cs="LinLibertineT"/>
          <w:sz w:val="22"/>
          <w:szCs w:val="22"/>
        </w:rPr>
        <w:t>Should the keys to the locker be lost, the ECA team should be not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ifi</w:t>
      </w:r>
      <w:r w:rsidRPr="00A92CC9">
        <w:rPr>
          <w:rFonts w:ascii="Calibri" w:hAnsi="Calibri" w:cs="LinLibertineT"/>
          <w:sz w:val="22"/>
          <w:szCs w:val="22"/>
        </w:rPr>
        <w:t>ed immediately.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The locker would then be forti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fi</w:t>
      </w:r>
      <w:r w:rsidRPr="00A92CC9">
        <w:rPr>
          <w:rFonts w:ascii="Calibri" w:hAnsi="Calibri" w:cs="LinLibertineT"/>
          <w:sz w:val="22"/>
          <w:szCs w:val="22"/>
        </w:rPr>
        <w:t>ed appropriately by additional locks or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other methods. Con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>fi</w:t>
      </w:r>
      <w:r w:rsidRPr="00A92CC9">
        <w:rPr>
          <w:rFonts w:ascii="Calibri" w:hAnsi="Calibri" w:cs="LinLibertineT"/>
          <w:sz w:val="22"/>
          <w:szCs w:val="22"/>
        </w:rPr>
        <w:t>rmation from more than half of the club’s executive members</w:t>
      </w:r>
      <w:r w:rsidRPr="00A92CC9">
        <w:rPr>
          <w:rFonts w:ascii="Calibri" w:eastAsia="PMingLiU" w:hAnsi="Calibri" w:cs="LinLibertineT"/>
          <w:sz w:val="22"/>
          <w:szCs w:val="22"/>
          <w:lang w:eastAsia="zh-HK"/>
        </w:rPr>
        <w:t xml:space="preserve"> </w:t>
      </w:r>
      <w:r w:rsidRPr="00A92CC9">
        <w:rPr>
          <w:rFonts w:ascii="Calibri" w:hAnsi="Calibri" w:cs="LinLibertineT"/>
          <w:sz w:val="22"/>
          <w:szCs w:val="22"/>
        </w:rPr>
        <w:t>must be present before any further action could be taken.</w:t>
      </w:r>
    </w:p>
    <w:p w14:paraId="5C6B2BF3" w14:textId="77777777" w:rsidR="00A92CC9" w:rsidRDefault="00A92CC9" w:rsidP="00374C0C">
      <w:pPr>
        <w:rPr>
          <w:rFonts w:asciiTheme="majorHAnsi" w:eastAsia="PMingLiU" w:hAnsiTheme="majorHAnsi" w:cstheme="majorHAnsi"/>
          <w:lang w:eastAsia="zh-HK"/>
        </w:rPr>
      </w:pPr>
    </w:p>
    <w:p w14:paraId="609D2FCC" w14:textId="6DD9990C" w:rsidR="00374C0C" w:rsidRPr="00374C0C" w:rsidRDefault="005C644F" w:rsidP="00374C0C">
      <w:pPr>
        <w:rPr>
          <w:rFonts w:asciiTheme="majorHAnsi" w:hAnsiTheme="majorHAnsi" w:cstheme="majorHAnsi"/>
        </w:rPr>
      </w:pPr>
      <w:r>
        <w:rPr>
          <w:rFonts w:asciiTheme="majorHAnsi" w:eastAsia="PMingLiU" w:hAnsiTheme="majorHAnsi" w:cstheme="majorHAnsi" w:hint="eastAsia"/>
          <w:lang w:eastAsia="zh-HK"/>
        </w:rPr>
        <w:t xml:space="preserve">Agreed and </w:t>
      </w:r>
      <w:r w:rsidR="00374C0C"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194EF1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00567A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707070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00567A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707070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00567A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707070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194EF1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00567A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707070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707070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2B45C957" w14:textId="77777777" w:rsidR="005C644F" w:rsidRDefault="005C644F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0156D8C" w14:textId="4FD14B62" w:rsidR="004807CE" w:rsidRDefault="005C644F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Approved by,</w:t>
            </w: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45636A32" w:rsidR="004807CE" w:rsidRPr="00DD31CF" w:rsidRDefault="00194EF1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hAnsi="Calibri" w:cs="Calibri"/>
              </w:rPr>
              <w:t xml:space="preserve">Chowdhury </w:t>
            </w:r>
            <w:proofErr w:type="spellStart"/>
            <w:r>
              <w:rPr>
                <w:rStyle w:val="Style7"/>
                <w:rFonts w:ascii="Calibri" w:hAnsi="Calibri" w:cs="Calibri"/>
              </w:rPr>
              <w:t>Arwan</w:t>
            </w:r>
            <w:proofErr w:type="spellEnd"/>
            <w:r>
              <w:rPr>
                <w:rStyle w:val="Style7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Style7"/>
                <w:rFonts w:ascii="Calibri" w:hAnsi="Calibri" w:cs="Calibri"/>
              </w:rPr>
              <w:t>Sanjid</w:t>
            </w:r>
            <w:proofErr w:type="spellEnd"/>
            <w:r>
              <w:rPr>
                <w:rStyle w:val="Style7"/>
                <w:rFonts w:ascii="Calibri" w:hAnsi="Calibri" w:cs="Calibri"/>
              </w:rPr>
              <w:t xml:space="preserve"> 4A</w:t>
            </w:r>
          </w:p>
          <w:p w14:paraId="2727D824" w14:textId="60A3D598" w:rsidR="004807CE" w:rsidRPr="00C83A2B" w:rsidRDefault="00194EF1" w:rsidP="00C22072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>Content Disseminator</w:t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BDC1E28" w14:textId="77777777" w:rsidR="005C644F" w:rsidRDefault="005C644F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748716A2" w:rsidR="004807CE" w:rsidRPr="00DD31CF" w:rsidRDefault="00E567D1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679859D1" w14:textId="77777777" w:rsidR="00624917" w:rsidRPr="00624917" w:rsidRDefault="00624917" w:rsidP="00624917">
      <w:pPr>
        <w:rPr>
          <w:rFonts w:asciiTheme="majorHAnsi" w:eastAsia="PMingLiU" w:hAnsiTheme="majorHAnsi" w:cstheme="majorHAnsi"/>
          <w:lang w:eastAsia="zh-HK"/>
        </w:rPr>
      </w:pPr>
    </w:p>
    <w:sectPr w:rsidR="00624917" w:rsidRPr="00624917" w:rsidSect="005C644F">
      <w:footerReference w:type="default" r:id="rId10"/>
      <w:pgSz w:w="11900" w:h="16840"/>
      <w:pgMar w:top="568" w:right="1008" w:bottom="568" w:left="1008" w:header="720" w:footer="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2E92" w14:textId="77777777" w:rsidR="009D3A78" w:rsidRDefault="009D3A78" w:rsidP="008B088E">
      <w:r>
        <w:separator/>
      </w:r>
    </w:p>
  </w:endnote>
  <w:endnote w:type="continuationSeparator" w:id="0">
    <w:p w14:paraId="15C23861" w14:textId="77777777" w:rsidR="009D3A78" w:rsidRDefault="009D3A78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inLibertin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5F4C" w14:textId="152FE862" w:rsidR="00581A10" w:rsidRDefault="00581A10" w:rsidP="008B088E">
    <w:pPr>
      <w:pStyle w:val="Footer"/>
      <w:jc w:val="right"/>
    </w:pPr>
  </w:p>
  <w:p w14:paraId="26444C6A" w14:textId="77777777" w:rsidR="00581A10" w:rsidRDefault="0058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9B53" w14:textId="77777777" w:rsidR="009D3A78" w:rsidRDefault="009D3A78" w:rsidP="008B088E">
      <w:r>
        <w:separator/>
      </w:r>
    </w:p>
  </w:footnote>
  <w:footnote w:type="continuationSeparator" w:id="0">
    <w:p w14:paraId="0CFF976B" w14:textId="77777777" w:rsidR="009D3A78" w:rsidRDefault="009D3A78" w:rsidP="008B088E">
      <w:r>
        <w:continuationSeparator/>
      </w:r>
    </w:p>
  </w:footnote>
  <w:footnote w:id="1">
    <w:p w14:paraId="45638FFD" w14:textId="14F859B9" w:rsidR="00A92CC9" w:rsidRPr="00624917" w:rsidRDefault="00A92CC9" w:rsidP="00624917">
      <w:pPr>
        <w:widowControl w:val="0"/>
        <w:autoSpaceDE w:val="0"/>
        <w:autoSpaceDN w:val="0"/>
        <w:adjustRightInd w:val="0"/>
        <w:rPr>
          <w:rFonts w:asciiTheme="majorHAnsi" w:eastAsia="PMingLiU" w:hAnsiTheme="majorHAnsi" w:cs="LinLibertineT"/>
          <w:sz w:val="16"/>
          <w:szCs w:val="16"/>
          <w:lang w:eastAsia="zh-HK"/>
        </w:rPr>
      </w:pPr>
      <w:r>
        <w:rPr>
          <w:rStyle w:val="FootnoteReference"/>
        </w:rPr>
        <w:footnoteRef/>
      </w:r>
      <w:r>
        <w:t xml:space="preserve"> </w:t>
      </w:r>
      <w:r w:rsidRPr="00A92CC9">
        <w:rPr>
          <w:rFonts w:asciiTheme="majorHAnsi" w:hAnsiTheme="majorHAnsi" w:cs="LinLibertineT"/>
          <w:sz w:val="16"/>
          <w:szCs w:val="16"/>
        </w:rPr>
        <w:t xml:space="preserve">It is recommended to store items such as but not limited to inventory for unsold Open Day </w:t>
      </w:r>
      <w:r w:rsidR="00624917">
        <w:rPr>
          <w:rFonts w:asciiTheme="majorHAnsi" w:hAnsiTheme="majorHAnsi" w:cs="LinLibertineT"/>
          <w:sz w:val="16"/>
          <w:szCs w:val="16"/>
        </w:rPr>
        <w:t>souvenirs or posters / tie pins</w:t>
      </w:r>
      <w:r w:rsidR="00624917">
        <w:rPr>
          <w:rFonts w:asciiTheme="majorHAnsi" w:eastAsia="PMingLiU" w:hAnsiTheme="majorHAnsi" w:cs="LinLibertineT" w:hint="eastAsia"/>
          <w:sz w:val="16"/>
          <w:szCs w:val="16"/>
          <w:lang w:eastAsia="zh-HK"/>
        </w:rPr>
        <w:t xml:space="preserve"> </w:t>
      </w:r>
      <w:r w:rsidRPr="00A92CC9">
        <w:rPr>
          <w:rFonts w:asciiTheme="majorHAnsi" w:hAnsiTheme="majorHAnsi" w:cs="LinLibertineT"/>
          <w:sz w:val="16"/>
          <w:szCs w:val="16"/>
        </w:rPr>
        <w:t>that will be re-used next year within the lockers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AD5"/>
    <w:multiLevelType w:val="hybridMultilevel"/>
    <w:tmpl w:val="EE365484"/>
    <w:lvl w:ilvl="0" w:tplc="5072B354">
      <w:start w:val="1"/>
      <w:numFmt w:val="lowerRoman"/>
      <w:lvlText w:val="%1)"/>
      <w:lvlJc w:val="left"/>
      <w:pPr>
        <w:ind w:left="96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774819"/>
    <w:multiLevelType w:val="hybridMultilevel"/>
    <w:tmpl w:val="7A30DE50"/>
    <w:lvl w:ilvl="0" w:tplc="58FAF982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4352443">
    <w:abstractNumId w:val="2"/>
  </w:num>
  <w:num w:numId="2" w16cid:durableId="964771293">
    <w:abstractNumId w:val="3"/>
  </w:num>
  <w:num w:numId="3" w16cid:durableId="1410424694">
    <w:abstractNumId w:val="1"/>
  </w:num>
  <w:num w:numId="4" w16cid:durableId="78789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50"/>
    <w:rsid w:val="00051A44"/>
    <w:rsid w:val="000D121C"/>
    <w:rsid w:val="000E5B87"/>
    <w:rsid w:val="000F3BA6"/>
    <w:rsid w:val="00135D46"/>
    <w:rsid w:val="00151D38"/>
    <w:rsid w:val="001746B5"/>
    <w:rsid w:val="00194EF1"/>
    <w:rsid w:val="001F778F"/>
    <w:rsid w:val="00201666"/>
    <w:rsid w:val="002139B7"/>
    <w:rsid w:val="002150E4"/>
    <w:rsid w:val="00221EC7"/>
    <w:rsid w:val="002C5703"/>
    <w:rsid w:val="00313547"/>
    <w:rsid w:val="00320BF4"/>
    <w:rsid w:val="0032215D"/>
    <w:rsid w:val="00374C0C"/>
    <w:rsid w:val="00376498"/>
    <w:rsid w:val="00401412"/>
    <w:rsid w:val="004114C6"/>
    <w:rsid w:val="00411790"/>
    <w:rsid w:val="004807CE"/>
    <w:rsid w:val="004B55B3"/>
    <w:rsid w:val="005453CA"/>
    <w:rsid w:val="00581A10"/>
    <w:rsid w:val="005C644F"/>
    <w:rsid w:val="00607583"/>
    <w:rsid w:val="00624917"/>
    <w:rsid w:val="00626277"/>
    <w:rsid w:val="006B2CB4"/>
    <w:rsid w:val="006B7059"/>
    <w:rsid w:val="006B7785"/>
    <w:rsid w:val="006D288C"/>
    <w:rsid w:val="006E78C1"/>
    <w:rsid w:val="00735EC8"/>
    <w:rsid w:val="00793D1C"/>
    <w:rsid w:val="007F3909"/>
    <w:rsid w:val="0083201E"/>
    <w:rsid w:val="008763D7"/>
    <w:rsid w:val="008B088E"/>
    <w:rsid w:val="008E1DE5"/>
    <w:rsid w:val="009A3C79"/>
    <w:rsid w:val="009C582A"/>
    <w:rsid w:val="009D3A78"/>
    <w:rsid w:val="00A31C50"/>
    <w:rsid w:val="00A92CC9"/>
    <w:rsid w:val="00AC1D3A"/>
    <w:rsid w:val="00AE2C51"/>
    <w:rsid w:val="00BD3B67"/>
    <w:rsid w:val="00BF3330"/>
    <w:rsid w:val="00C07630"/>
    <w:rsid w:val="00C151DD"/>
    <w:rsid w:val="00C22072"/>
    <w:rsid w:val="00C30FBF"/>
    <w:rsid w:val="00C83A2B"/>
    <w:rsid w:val="00C90C8D"/>
    <w:rsid w:val="00DA37FE"/>
    <w:rsid w:val="00DD7F3E"/>
    <w:rsid w:val="00E10809"/>
    <w:rsid w:val="00E567D1"/>
    <w:rsid w:val="00EB0488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0B91A"/>
  <w14:defaultImageDpi w14:val="300"/>
  <w15:docId w15:val="{ABC494FC-8C50-4F44-B78E-9D7394E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FE09E3" w:themeColor="accent1" w:shadow="1" w:frame="1"/>
        <w:left w:val="single" w:sz="2" w:space="10" w:color="FE09E3" w:themeColor="accent1" w:shadow="1" w:frame="1"/>
        <w:bottom w:val="single" w:sz="2" w:space="10" w:color="FE09E3" w:themeColor="accent1" w:shadow="1" w:frame="1"/>
        <w:right w:val="single" w:sz="2" w:space="10" w:color="FE09E3" w:themeColor="accent1" w:shadow="1" w:frame="1"/>
      </w:pBdr>
      <w:ind w:left="1152" w:right="1152"/>
    </w:pPr>
    <w:rPr>
      <w:i/>
      <w:iCs/>
      <w:color w:val="FE09E3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C301AD" w:themeColor="accent1" w:themeShade="BF"/>
    </w:rPr>
    <w:tblPr>
      <w:tblStyleRowBandSize w:val="1"/>
      <w:tblStyleColBandSize w:val="1"/>
      <w:tblBorders>
        <w:top w:val="single" w:sz="8" w:space="0" w:color="FE09E3" w:themeColor="accent1"/>
        <w:bottom w:val="single" w:sz="8" w:space="0" w:color="FE09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09E3" w:themeColor="accent1"/>
          <w:left w:val="nil"/>
          <w:bottom w:val="single" w:sz="8" w:space="0" w:color="FE09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09E3" w:themeColor="accent1"/>
          <w:left w:val="nil"/>
          <w:bottom w:val="single" w:sz="8" w:space="0" w:color="FE09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C1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C1F7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1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H w:val="nil"/>
          <w:insideV w:val="single" w:sz="8" w:space="0" w:color="96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</w:tcPr>
    </w:tblStylePr>
    <w:tblStylePr w:type="band1Vert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69696" w:themeColor="accent5"/>
          <w:left w:val="single" w:sz="8" w:space="0" w:color="969696" w:themeColor="accent5"/>
          <w:bottom w:val="single" w:sz="8" w:space="0" w:color="969696" w:themeColor="accent5"/>
          <w:right w:val="single" w:sz="8" w:space="0" w:color="969696" w:themeColor="accent5"/>
          <w:insideV w:val="single" w:sz="8" w:space="0" w:color="96969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55CB72" w:themeColor="accent3"/>
        <w:left w:val="single" w:sz="8" w:space="0" w:color="55CB72" w:themeColor="accent3"/>
        <w:bottom w:val="single" w:sz="8" w:space="0" w:color="55CB72" w:themeColor="accent3"/>
        <w:right w:val="single" w:sz="8" w:space="0" w:color="55CB72" w:themeColor="accent3"/>
        <w:insideH w:val="single" w:sz="8" w:space="0" w:color="55CB72" w:themeColor="accent3"/>
        <w:insideV w:val="single" w:sz="8" w:space="0" w:color="55CB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B72" w:themeColor="accent3"/>
          <w:left w:val="single" w:sz="8" w:space="0" w:color="55CB72" w:themeColor="accent3"/>
          <w:bottom w:val="single" w:sz="18" w:space="0" w:color="55CB72" w:themeColor="accent3"/>
          <w:right w:val="single" w:sz="8" w:space="0" w:color="55CB72" w:themeColor="accent3"/>
          <w:insideH w:val="nil"/>
          <w:insideV w:val="single" w:sz="8" w:space="0" w:color="55CB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CB72" w:themeColor="accent3"/>
          <w:left w:val="single" w:sz="8" w:space="0" w:color="55CB72" w:themeColor="accent3"/>
          <w:bottom w:val="single" w:sz="8" w:space="0" w:color="55CB72" w:themeColor="accent3"/>
          <w:right w:val="single" w:sz="8" w:space="0" w:color="55CB72" w:themeColor="accent3"/>
          <w:insideH w:val="nil"/>
          <w:insideV w:val="single" w:sz="8" w:space="0" w:color="55CB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B72" w:themeColor="accent3"/>
          <w:left w:val="single" w:sz="8" w:space="0" w:color="55CB72" w:themeColor="accent3"/>
          <w:bottom w:val="single" w:sz="8" w:space="0" w:color="55CB72" w:themeColor="accent3"/>
          <w:right w:val="single" w:sz="8" w:space="0" w:color="55CB72" w:themeColor="accent3"/>
        </w:tcBorders>
      </w:tcPr>
    </w:tblStylePr>
    <w:tblStylePr w:type="band1Vert">
      <w:tblPr/>
      <w:tcPr>
        <w:tcBorders>
          <w:top w:val="single" w:sz="8" w:space="0" w:color="55CB72" w:themeColor="accent3"/>
          <w:left w:val="single" w:sz="8" w:space="0" w:color="55CB72" w:themeColor="accent3"/>
          <w:bottom w:val="single" w:sz="8" w:space="0" w:color="55CB72" w:themeColor="accent3"/>
          <w:right w:val="single" w:sz="8" w:space="0" w:color="55CB72" w:themeColor="accent3"/>
        </w:tcBorders>
        <w:shd w:val="clear" w:color="auto" w:fill="D4F2DB" w:themeFill="accent3" w:themeFillTint="3F"/>
      </w:tcPr>
    </w:tblStylePr>
    <w:tblStylePr w:type="band1Horz">
      <w:tblPr/>
      <w:tcPr>
        <w:tcBorders>
          <w:top w:val="single" w:sz="8" w:space="0" w:color="55CB72" w:themeColor="accent3"/>
          <w:left w:val="single" w:sz="8" w:space="0" w:color="55CB72" w:themeColor="accent3"/>
          <w:bottom w:val="single" w:sz="8" w:space="0" w:color="55CB72" w:themeColor="accent3"/>
          <w:right w:val="single" w:sz="8" w:space="0" w:color="55CB72" w:themeColor="accent3"/>
          <w:insideV w:val="single" w:sz="8" w:space="0" w:color="55CB72" w:themeColor="accent3"/>
        </w:tcBorders>
        <w:shd w:val="clear" w:color="auto" w:fill="D4F2DB" w:themeFill="accent3" w:themeFillTint="3F"/>
      </w:tcPr>
    </w:tblStylePr>
    <w:tblStylePr w:type="band2Horz">
      <w:tblPr/>
      <w:tcPr>
        <w:tcBorders>
          <w:top w:val="single" w:sz="8" w:space="0" w:color="55CB72" w:themeColor="accent3"/>
          <w:left w:val="single" w:sz="8" w:space="0" w:color="55CB72" w:themeColor="accent3"/>
          <w:bottom w:val="single" w:sz="8" w:space="0" w:color="55CB72" w:themeColor="accent3"/>
          <w:right w:val="single" w:sz="8" w:space="0" w:color="55CB72" w:themeColor="accent3"/>
          <w:insideV w:val="single" w:sz="8" w:space="0" w:color="55CB72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32A54E" w:themeColor="accent3" w:themeShade="BF"/>
    </w:rPr>
    <w:tblPr>
      <w:tblStyleRowBandSize w:val="1"/>
      <w:tblStyleColBandSize w:val="1"/>
      <w:tblBorders>
        <w:top w:val="single" w:sz="8" w:space="0" w:color="55CB72" w:themeColor="accent3"/>
        <w:bottom w:val="single" w:sz="8" w:space="0" w:color="55CB7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B72" w:themeColor="accent3"/>
          <w:left w:val="nil"/>
          <w:bottom w:val="single" w:sz="8" w:space="0" w:color="55CB7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B72" w:themeColor="accent3"/>
          <w:left w:val="nil"/>
          <w:bottom w:val="single" w:sz="8" w:space="0" w:color="55CB7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2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2DB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  <w:style w:type="table" w:styleId="LightGrid-Accent2">
    <w:name w:val="Light Grid Accent 2"/>
    <w:basedOn w:val="TableNormal"/>
    <w:uiPriority w:val="62"/>
    <w:rsid w:val="00C83A2B"/>
    <w:tblPr>
      <w:tblStyleRowBandSize w:val="1"/>
      <w:tblStyleColBandSize w:val="1"/>
      <w:tblBorders>
        <w:top w:val="single" w:sz="8" w:space="0" w:color="00ACF5" w:themeColor="accent2"/>
        <w:left w:val="single" w:sz="8" w:space="0" w:color="00ACF5" w:themeColor="accent2"/>
        <w:bottom w:val="single" w:sz="8" w:space="0" w:color="00ACF5" w:themeColor="accent2"/>
        <w:right w:val="single" w:sz="8" w:space="0" w:color="00ACF5" w:themeColor="accent2"/>
        <w:insideH w:val="single" w:sz="8" w:space="0" w:color="00ACF5" w:themeColor="accent2"/>
        <w:insideV w:val="single" w:sz="8" w:space="0" w:color="00AC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CF5" w:themeColor="accent2"/>
          <w:left w:val="single" w:sz="8" w:space="0" w:color="00ACF5" w:themeColor="accent2"/>
          <w:bottom w:val="single" w:sz="18" w:space="0" w:color="00ACF5" w:themeColor="accent2"/>
          <w:right w:val="single" w:sz="8" w:space="0" w:color="00ACF5" w:themeColor="accent2"/>
          <w:insideH w:val="nil"/>
          <w:insideV w:val="single" w:sz="8" w:space="0" w:color="00AC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CF5" w:themeColor="accent2"/>
          <w:left w:val="single" w:sz="8" w:space="0" w:color="00ACF5" w:themeColor="accent2"/>
          <w:bottom w:val="single" w:sz="8" w:space="0" w:color="00ACF5" w:themeColor="accent2"/>
          <w:right w:val="single" w:sz="8" w:space="0" w:color="00ACF5" w:themeColor="accent2"/>
          <w:insideH w:val="nil"/>
          <w:insideV w:val="single" w:sz="8" w:space="0" w:color="00AC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CF5" w:themeColor="accent2"/>
          <w:left w:val="single" w:sz="8" w:space="0" w:color="00ACF5" w:themeColor="accent2"/>
          <w:bottom w:val="single" w:sz="8" w:space="0" w:color="00ACF5" w:themeColor="accent2"/>
          <w:right w:val="single" w:sz="8" w:space="0" w:color="00ACF5" w:themeColor="accent2"/>
        </w:tcBorders>
      </w:tcPr>
    </w:tblStylePr>
    <w:tblStylePr w:type="band1Vert">
      <w:tblPr/>
      <w:tcPr>
        <w:tcBorders>
          <w:top w:val="single" w:sz="8" w:space="0" w:color="00ACF5" w:themeColor="accent2"/>
          <w:left w:val="single" w:sz="8" w:space="0" w:color="00ACF5" w:themeColor="accent2"/>
          <w:bottom w:val="single" w:sz="8" w:space="0" w:color="00ACF5" w:themeColor="accent2"/>
          <w:right w:val="single" w:sz="8" w:space="0" w:color="00ACF5" w:themeColor="accent2"/>
        </w:tcBorders>
        <w:shd w:val="clear" w:color="auto" w:fill="BDEBFF" w:themeFill="accent2" w:themeFillTint="3F"/>
      </w:tcPr>
    </w:tblStylePr>
    <w:tblStylePr w:type="band1Horz">
      <w:tblPr/>
      <w:tcPr>
        <w:tcBorders>
          <w:top w:val="single" w:sz="8" w:space="0" w:color="00ACF5" w:themeColor="accent2"/>
          <w:left w:val="single" w:sz="8" w:space="0" w:color="00ACF5" w:themeColor="accent2"/>
          <w:bottom w:val="single" w:sz="8" w:space="0" w:color="00ACF5" w:themeColor="accent2"/>
          <w:right w:val="single" w:sz="8" w:space="0" w:color="00ACF5" w:themeColor="accent2"/>
          <w:insideV w:val="single" w:sz="8" w:space="0" w:color="00ACF5" w:themeColor="accent2"/>
        </w:tcBorders>
        <w:shd w:val="clear" w:color="auto" w:fill="BDEBFF" w:themeFill="accent2" w:themeFillTint="3F"/>
      </w:tcPr>
    </w:tblStylePr>
    <w:tblStylePr w:type="band2Horz">
      <w:tblPr/>
      <w:tcPr>
        <w:tcBorders>
          <w:top w:val="single" w:sz="8" w:space="0" w:color="00ACF5" w:themeColor="accent2"/>
          <w:left w:val="single" w:sz="8" w:space="0" w:color="00ACF5" w:themeColor="accent2"/>
          <w:bottom w:val="single" w:sz="8" w:space="0" w:color="00ACF5" w:themeColor="accent2"/>
          <w:right w:val="single" w:sz="8" w:space="0" w:color="00ACF5" w:themeColor="accent2"/>
          <w:insideV w:val="single" w:sz="8" w:space="0" w:color="00ACF5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C9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CC9"/>
    <w:rPr>
      <w:vertAlign w:val="superscript"/>
    </w:rPr>
  </w:style>
  <w:style w:type="table" w:styleId="LightShading-Accent5">
    <w:name w:val="Light Shading Accent 5"/>
    <w:basedOn w:val="TableNormal"/>
    <w:uiPriority w:val="60"/>
    <w:rsid w:val="00624917"/>
    <w:rPr>
      <w:color w:val="707070" w:themeColor="accent5" w:themeShade="BF"/>
    </w:rPr>
    <w:tblPr>
      <w:tblStyleRowBandSize w:val="1"/>
      <w:tblStyleColBandSize w:val="1"/>
      <w:tblBorders>
        <w:top w:val="single" w:sz="8" w:space="0" w:color="969696" w:themeColor="accent5"/>
        <w:bottom w:val="single" w:sz="8" w:space="0" w:color="96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5"/>
          <w:left w:val="nil"/>
          <w:bottom w:val="single" w:sz="8" w:space="0" w:color="96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6249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5"/>
        <w:left w:val="single" w:sz="8" w:space="0" w:color="969696" w:themeColor="accent5"/>
        <w:bottom w:val="single" w:sz="8" w:space="0" w:color="969696" w:themeColor="accent5"/>
        <w:right w:val="single" w:sz="8" w:space="0" w:color="969696" w:themeColor="accent5"/>
        <w:insideH w:val="single" w:sz="8" w:space="0" w:color="969696" w:themeColor="accent5"/>
        <w:insideV w:val="single" w:sz="8" w:space="0" w:color="969696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ACACA" w:themeFill="accent5" w:themeFillTint="7F"/>
      </w:tcPr>
    </w:tblStylePr>
    <w:tblStylePr w:type="band1Horz">
      <w:tblPr/>
      <w:tcPr>
        <w:tcBorders>
          <w:insideH w:val="single" w:sz="6" w:space="0" w:color="969696" w:themeColor="accent5"/>
          <w:insideV w:val="single" w:sz="6" w:space="0" w:color="969696" w:themeColor="accent5"/>
        </w:tcBorders>
        <w:shd w:val="clear" w:color="auto" w:fill="CACA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E3E3E5"/>
      </a:lt2>
      <a:accent1>
        <a:srgbClr val="FE09E3"/>
      </a:accent1>
      <a:accent2>
        <a:srgbClr val="00ACF5"/>
      </a:accent2>
      <a:accent3>
        <a:srgbClr val="55CB72"/>
      </a:accent3>
      <a:accent4>
        <a:srgbClr val="EFC926"/>
      </a:accent4>
      <a:accent5>
        <a:srgbClr val="969696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D682-D8C4-4244-A500-CD4D458A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Chong Yiu Tam</cp:lastModifiedBy>
  <cp:revision>7</cp:revision>
  <cp:lastPrinted>2013-09-05T02:44:00Z</cp:lastPrinted>
  <dcterms:created xsi:type="dcterms:W3CDTF">2019-08-31T03:21:00Z</dcterms:created>
  <dcterms:modified xsi:type="dcterms:W3CDTF">2022-09-06T07:24:00Z</dcterms:modified>
</cp:coreProperties>
</file>